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7D2A" w14:textId="77777777" w:rsidR="00A345A9" w:rsidRPr="00EF046E" w:rsidRDefault="00FD61EF" w:rsidP="00A345A9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8"/>
          <w:szCs w:val="28"/>
          <w:u w:val="single"/>
        </w:rPr>
      </w:pPr>
      <w:r>
        <w:rPr>
          <w:rFonts w:cs="Arial"/>
          <w:b/>
          <w:bCs/>
          <w:w w:val="102"/>
          <w:sz w:val="28"/>
          <w:szCs w:val="28"/>
          <w:u w:val="single"/>
        </w:rPr>
        <w:t xml:space="preserve">Proposed </w:t>
      </w:r>
      <w:r>
        <w:rPr>
          <w:rFonts w:cs="Arial"/>
          <w:b/>
          <w:bCs/>
          <w:w w:val="102"/>
          <w:sz w:val="28"/>
          <w:szCs w:val="28"/>
          <w:u w:val="single"/>
        </w:rPr>
        <w:t>Road Safety</w:t>
      </w:r>
      <w:r>
        <w:rPr>
          <w:rFonts w:cs="Arial"/>
          <w:b/>
          <w:bCs/>
          <w:w w:val="102"/>
          <w:sz w:val="28"/>
          <w:szCs w:val="28"/>
          <w:u w:val="single"/>
        </w:rPr>
        <w:t xml:space="preserve"> 2021/22</w:t>
      </w:r>
      <w:r w:rsidRPr="00EF046E">
        <w:rPr>
          <w:rFonts w:cs="Arial"/>
          <w:b/>
          <w:bCs/>
          <w:w w:val="102"/>
          <w:sz w:val="28"/>
          <w:szCs w:val="28"/>
          <w:u w:val="single"/>
        </w:rPr>
        <w:t xml:space="preserve"> </w:t>
      </w:r>
      <w:r w:rsidRPr="00EF046E">
        <w:rPr>
          <w:rFonts w:cs="Arial"/>
          <w:b/>
          <w:bCs/>
          <w:w w:val="102"/>
          <w:sz w:val="28"/>
          <w:szCs w:val="28"/>
          <w:u w:val="single"/>
        </w:rPr>
        <w:t xml:space="preserve">Capital </w:t>
      </w:r>
      <w:r w:rsidRPr="00EF046E">
        <w:rPr>
          <w:rFonts w:cs="Arial"/>
          <w:b/>
          <w:bCs/>
          <w:w w:val="102"/>
          <w:sz w:val="28"/>
          <w:szCs w:val="28"/>
          <w:u w:val="single"/>
        </w:rPr>
        <w:t>Programme</w:t>
      </w:r>
    </w:p>
    <w:p w14:paraId="1941729A" w14:textId="77777777" w:rsidR="00FF65FC" w:rsidRPr="008419D6" w:rsidRDefault="00FD61EF" w:rsidP="00A345A9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60"/>
        <w:gridCol w:w="1410"/>
        <w:gridCol w:w="4016"/>
        <w:gridCol w:w="1383"/>
      </w:tblGrid>
      <w:tr w:rsidR="00E44999" w14:paraId="7AEAC5A0" w14:textId="77777777" w:rsidTr="000B3B15">
        <w:trPr>
          <w:trHeight w:val="510"/>
          <w:tblHeader/>
        </w:trPr>
        <w:tc>
          <w:tcPr>
            <w:tcW w:w="5000" w:type="pct"/>
            <w:gridSpan w:val="5"/>
            <w:shd w:val="clear" w:color="auto" w:fill="66FFCC"/>
            <w:vAlign w:val="center"/>
            <w:hideMark/>
          </w:tcPr>
          <w:p w14:paraId="7ED63637" w14:textId="77777777" w:rsidR="00BA4E28" w:rsidRPr="00483240" w:rsidRDefault="00FD61EF" w:rsidP="00221B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8324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2021/22</w:t>
            </w:r>
            <w:r w:rsidRPr="0048324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48324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Programme: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Road Safety</w:t>
            </w:r>
          </w:p>
        </w:tc>
      </w:tr>
      <w:tr w:rsidR="00E44999" w14:paraId="381B2787" w14:textId="77777777" w:rsidTr="000B3B15">
        <w:trPr>
          <w:trHeight w:val="545"/>
          <w:tblHeader/>
        </w:trPr>
        <w:tc>
          <w:tcPr>
            <w:tcW w:w="1024" w:type="pct"/>
            <w:shd w:val="clear" w:color="auto" w:fill="66FFCC"/>
            <w:vAlign w:val="center"/>
          </w:tcPr>
          <w:p w14:paraId="1BAC8FD3" w14:textId="77777777" w:rsidR="00B314C6" w:rsidRPr="00195970" w:rsidRDefault="00FD61EF" w:rsidP="00B314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Name</w:t>
            </w:r>
          </w:p>
        </w:tc>
        <w:tc>
          <w:tcPr>
            <w:tcW w:w="741" w:type="pct"/>
            <w:shd w:val="clear" w:color="auto" w:fill="66FFCC"/>
            <w:vAlign w:val="center"/>
          </w:tcPr>
          <w:p w14:paraId="46165F81" w14:textId="77777777" w:rsidR="00B314C6" w:rsidRPr="00195970" w:rsidRDefault="00FD61EF" w:rsidP="00B314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Division</w:t>
            </w:r>
          </w:p>
        </w:tc>
        <w:tc>
          <w:tcPr>
            <w:tcW w:w="670" w:type="pct"/>
            <w:shd w:val="clear" w:color="auto" w:fill="66FFCC"/>
            <w:vAlign w:val="center"/>
          </w:tcPr>
          <w:p w14:paraId="635AA723" w14:textId="77777777" w:rsidR="00B314C6" w:rsidRPr="00195970" w:rsidRDefault="00FD61EF" w:rsidP="00B314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1908" w:type="pct"/>
            <w:shd w:val="clear" w:color="auto" w:fill="66FFCC"/>
            <w:vAlign w:val="center"/>
          </w:tcPr>
          <w:p w14:paraId="27CACA4D" w14:textId="77777777" w:rsidR="00B314C6" w:rsidRPr="00195970" w:rsidRDefault="00FD61EF" w:rsidP="00B314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44C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Description</w:t>
            </w:r>
          </w:p>
        </w:tc>
        <w:tc>
          <w:tcPr>
            <w:tcW w:w="657" w:type="pct"/>
            <w:shd w:val="clear" w:color="auto" w:fill="66FFCC"/>
            <w:vAlign w:val="center"/>
          </w:tcPr>
          <w:p w14:paraId="29BFA49F" w14:textId="77777777" w:rsidR="00B314C6" w:rsidRPr="00195970" w:rsidRDefault="00FD61EF" w:rsidP="00B314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44C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Estimate</w:t>
            </w:r>
          </w:p>
        </w:tc>
      </w:tr>
      <w:tr w:rsidR="00E44999" w14:paraId="48965A89" w14:textId="77777777" w:rsidTr="00E64371">
        <w:trPr>
          <w:trHeight w:val="1323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82FA0" w14:textId="77777777" w:rsidR="00415D3E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982854">
              <w:t>A5</w:t>
            </w:r>
            <w:r>
              <w:t>9</w:t>
            </w:r>
            <w:r w:rsidRPr="00982854">
              <w:t xml:space="preserve"> </w:t>
            </w:r>
            <w:proofErr w:type="spellStart"/>
            <w:r w:rsidRPr="00982854">
              <w:t>Gisburn</w:t>
            </w:r>
            <w:proofErr w:type="spellEnd"/>
            <w:r w:rsidRPr="00982854">
              <w:t xml:space="preserve"> Road Smithies Bridge </w:t>
            </w:r>
            <w:r>
              <w:t>L</w:t>
            </w:r>
            <w:r w:rsidRPr="00982854">
              <w:t>ining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7CED7" w14:textId="77777777" w:rsidR="00415D3E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Ribble Valley North East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6CD0D" w14:textId="77777777" w:rsidR="00415D3E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982854">
              <w:t>Ribble Valley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50F03" w14:textId="77777777" w:rsidR="00415D3E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415D3E">
              <w:rPr>
                <w:rFonts w:cs="Calibri"/>
                <w:lang w:eastAsia="en-GB"/>
              </w:rPr>
              <w:t xml:space="preserve">Improved lining and LED road </w:t>
            </w:r>
            <w:r w:rsidRPr="00415D3E">
              <w:rPr>
                <w:rFonts w:cs="Calibri"/>
                <w:lang w:eastAsia="en-GB"/>
              </w:rPr>
              <w:t>stud</w:t>
            </w:r>
            <w:r>
              <w:rPr>
                <w:rFonts w:cs="Calibri"/>
                <w:lang w:eastAsia="en-GB"/>
              </w:rPr>
              <w:t xml:space="preserve">s </w:t>
            </w:r>
            <w:r>
              <w:rPr>
                <w:rFonts w:cs="Calibri"/>
                <w:lang w:eastAsia="en-GB"/>
              </w:rPr>
              <w:t>to r</w:t>
            </w:r>
            <w:r w:rsidRPr="00415D3E">
              <w:rPr>
                <w:rFonts w:cs="Calibri"/>
                <w:lang w:eastAsia="en-GB"/>
              </w:rPr>
              <w:t xml:space="preserve">educe loss of control and crossing centre </w:t>
            </w:r>
            <w:r>
              <w:rPr>
                <w:rFonts w:cs="Calibri"/>
                <w:lang w:eastAsia="en-GB"/>
              </w:rPr>
              <w:t>l</w:t>
            </w:r>
            <w:r w:rsidRPr="00415D3E">
              <w:rPr>
                <w:rFonts w:cs="Calibri"/>
                <w:lang w:eastAsia="en-GB"/>
              </w:rPr>
              <w:t>ine collisions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DD523" w14:textId="77777777" w:rsidR="00415D3E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£</w:t>
            </w:r>
            <w:r w:rsidRPr="00415D3E">
              <w:rPr>
                <w:rFonts w:cs="Calibri"/>
                <w:lang w:eastAsia="en-GB"/>
              </w:rPr>
              <w:t>50</w:t>
            </w:r>
            <w:r>
              <w:rPr>
                <w:rFonts w:cs="Calibri"/>
                <w:lang w:eastAsia="en-GB"/>
              </w:rPr>
              <w:t>,</w:t>
            </w:r>
            <w:r w:rsidRPr="00415D3E">
              <w:rPr>
                <w:rFonts w:cs="Calibri"/>
                <w:lang w:eastAsia="en-GB"/>
              </w:rPr>
              <w:t>000</w:t>
            </w:r>
          </w:p>
        </w:tc>
      </w:tr>
      <w:tr w:rsidR="00E44999" w14:paraId="487F872B" w14:textId="77777777" w:rsidTr="00550F37">
        <w:trPr>
          <w:trHeight w:val="1527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C03CC" w14:textId="77777777" w:rsidR="00415D3E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82854">
              <w:t>A6 Lancaster New Road,</w:t>
            </w:r>
            <w:r>
              <w:t xml:space="preserve"> </w:t>
            </w:r>
            <w:proofErr w:type="spellStart"/>
            <w:r w:rsidRPr="00982854">
              <w:t>Cabus</w:t>
            </w:r>
            <w:proofErr w:type="spellEnd"/>
            <w:r w:rsidRPr="00982854">
              <w:t xml:space="preserve"> </w:t>
            </w:r>
            <w:r>
              <w:t>J</w:t>
            </w:r>
            <w:r w:rsidRPr="00982854">
              <w:t>unction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A94A3" w14:textId="77777777" w:rsidR="00415D3E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Wyre Rural East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4D76D" w14:textId="77777777" w:rsidR="00415D3E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982854">
              <w:t>Wyre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962DC" w14:textId="77777777" w:rsidR="000B3B15" w:rsidRPr="00483240" w:rsidRDefault="00FD61EF" w:rsidP="00550F37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>
              <w:t>Improved signing of frontages and upcoming hazards around the area of the petrol station</w:t>
            </w:r>
            <w:r>
              <w:t xml:space="preserve"> including e</w:t>
            </w:r>
            <w:r w:rsidRPr="00415D3E">
              <w:rPr>
                <w:rFonts w:cs="Calibri"/>
                <w:lang w:eastAsia="en-GB"/>
              </w:rPr>
              <w:t xml:space="preserve">dge of carriageway markings, </w:t>
            </w:r>
            <w:r>
              <w:rPr>
                <w:rFonts w:cs="Calibri"/>
                <w:lang w:eastAsia="en-GB"/>
              </w:rPr>
              <w:t xml:space="preserve">and installation of </w:t>
            </w:r>
            <w:r w:rsidRPr="002A0EEE">
              <w:rPr>
                <w:rFonts w:cs="Calibri"/>
                <w:lang w:eastAsia="en-GB"/>
              </w:rPr>
              <w:t>SLOW mark</w:t>
            </w:r>
            <w:r w:rsidRPr="002A0EEE">
              <w:rPr>
                <w:rFonts w:cs="Calibri"/>
                <w:lang w:eastAsia="en-GB"/>
              </w:rPr>
              <w:t xml:space="preserve"> and</w:t>
            </w:r>
            <w:r w:rsidRPr="002A0EEE">
              <w:rPr>
                <w:rFonts w:cs="Calibri"/>
                <w:lang w:eastAsia="en-GB"/>
              </w:rPr>
              <w:t xml:space="preserve"> </w:t>
            </w:r>
            <w:r w:rsidRPr="002A0EEE">
              <w:rPr>
                <w:rFonts w:cs="Calibri"/>
                <w:lang w:eastAsia="en-GB"/>
              </w:rPr>
              <w:t>dragons'</w:t>
            </w:r>
            <w:r w:rsidRPr="002A0EEE">
              <w:rPr>
                <w:rFonts w:cs="Calibri"/>
                <w:lang w:eastAsia="en-GB"/>
              </w:rPr>
              <w:t xml:space="preserve"> teeth </w:t>
            </w:r>
            <w:r w:rsidRPr="002A0EEE">
              <w:rPr>
                <w:rFonts w:cs="Calibri"/>
                <w:lang w:eastAsia="en-GB"/>
              </w:rPr>
              <w:t>markings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29233" w14:textId="77777777" w:rsidR="00415D3E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A040E1">
              <w:rPr>
                <w:rFonts w:cs="Calibri"/>
                <w:lang w:eastAsia="en-GB"/>
              </w:rPr>
              <w:t>£30,000</w:t>
            </w:r>
          </w:p>
        </w:tc>
      </w:tr>
      <w:tr w:rsidR="00E44999" w14:paraId="6EA096D2" w14:textId="77777777" w:rsidTr="00E64371">
        <w:trPr>
          <w:trHeight w:val="1410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51E3" w14:textId="77777777" w:rsidR="00415D3E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82854">
              <w:t xml:space="preserve">A5105 </w:t>
            </w:r>
            <w:r w:rsidRPr="00723B28">
              <w:t xml:space="preserve">Coastal Road, </w:t>
            </w:r>
            <w:proofErr w:type="spellStart"/>
            <w:r w:rsidRPr="00723B28">
              <w:t>Hest</w:t>
            </w:r>
            <w:proofErr w:type="spellEnd"/>
            <w:r w:rsidRPr="00723B28">
              <w:t xml:space="preserve"> Bank </w:t>
            </w:r>
            <w:r w:rsidRPr="00723B28">
              <w:t>S</w:t>
            </w:r>
            <w:r w:rsidRPr="00723B28">
              <w:t xml:space="preserve">peed </w:t>
            </w:r>
            <w:r w:rsidRPr="00723B28">
              <w:t>R</w:t>
            </w:r>
            <w:r w:rsidRPr="00723B28">
              <w:t xml:space="preserve">eduction and </w:t>
            </w:r>
            <w:r w:rsidRPr="00723B28">
              <w:t xml:space="preserve">Traffic </w:t>
            </w:r>
            <w:r w:rsidRPr="00723B28">
              <w:t>C</w:t>
            </w:r>
            <w:r w:rsidRPr="00723B28">
              <w:t>alming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F666E" w14:textId="77777777" w:rsidR="00415D3E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Morecambe North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95230" w14:textId="77777777" w:rsidR="00415D3E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982854"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2FF89" w14:textId="77777777" w:rsidR="00415D3E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A040E1">
              <w:rPr>
                <w:rFonts w:cs="Calibri"/>
                <w:lang w:eastAsia="en-GB"/>
              </w:rPr>
              <w:t>Warning signs</w:t>
            </w:r>
            <w:r>
              <w:rPr>
                <w:rFonts w:cs="Calibri"/>
                <w:lang w:eastAsia="en-GB"/>
              </w:rPr>
              <w:t xml:space="preserve"> and</w:t>
            </w:r>
            <w:r w:rsidRPr="00A040E1">
              <w:rPr>
                <w:rFonts w:cs="Calibri"/>
                <w:lang w:eastAsia="en-GB"/>
              </w:rPr>
              <w:t xml:space="preserve"> edge of carriageway markings to </w:t>
            </w:r>
            <w:r w:rsidRPr="00A040E1">
              <w:rPr>
                <w:rFonts w:cs="Calibri"/>
                <w:lang w:eastAsia="en-GB"/>
              </w:rPr>
              <w:t>visually</w:t>
            </w:r>
            <w:r w:rsidRPr="00A040E1">
              <w:rPr>
                <w:rFonts w:cs="Calibri"/>
                <w:lang w:eastAsia="en-GB"/>
              </w:rPr>
              <w:t xml:space="preserve"> narrow </w:t>
            </w:r>
            <w:r w:rsidRPr="00A040E1">
              <w:rPr>
                <w:rFonts w:cs="Calibri"/>
                <w:lang w:eastAsia="en-GB"/>
              </w:rPr>
              <w:t>carriageway</w:t>
            </w:r>
            <w:r>
              <w:rPr>
                <w:rFonts w:cs="Calibri"/>
                <w:lang w:eastAsia="en-GB"/>
              </w:rPr>
              <w:t xml:space="preserve"> and</w:t>
            </w:r>
            <w:r w:rsidRPr="00A040E1">
              <w:rPr>
                <w:rFonts w:cs="Calibri"/>
                <w:lang w:eastAsia="en-GB"/>
              </w:rPr>
              <w:t xml:space="preserve"> highlight</w:t>
            </w:r>
            <w:r w:rsidRPr="00A040E1">
              <w:rPr>
                <w:rFonts w:cs="Calibri"/>
                <w:lang w:eastAsia="en-GB"/>
              </w:rPr>
              <w:t xml:space="preserve"> gateway into </w:t>
            </w:r>
            <w:proofErr w:type="spellStart"/>
            <w:r w:rsidRPr="00A040E1">
              <w:rPr>
                <w:rFonts w:cs="Calibri"/>
                <w:lang w:eastAsia="en-GB"/>
              </w:rPr>
              <w:t>Hest</w:t>
            </w:r>
            <w:proofErr w:type="spellEnd"/>
            <w:r w:rsidRPr="00A040E1">
              <w:rPr>
                <w:rFonts w:cs="Calibri"/>
                <w:lang w:eastAsia="en-GB"/>
              </w:rPr>
              <w:t xml:space="preserve"> Bank</w:t>
            </w:r>
            <w:r>
              <w:rPr>
                <w:rFonts w:cs="Calibri"/>
                <w:lang w:eastAsia="en-GB"/>
              </w:rPr>
              <w:t>.</w:t>
            </w:r>
            <w:r w:rsidRPr="00A040E1">
              <w:rPr>
                <w:rFonts w:cs="Calibri"/>
                <w:lang w:eastAsia="en-GB"/>
              </w:rPr>
              <w:t xml:space="preserve"> </w:t>
            </w:r>
            <w:r>
              <w:rPr>
                <w:rFonts w:cs="Calibri"/>
                <w:lang w:eastAsia="en-GB"/>
              </w:rPr>
              <w:t>S</w:t>
            </w:r>
            <w:r w:rsidRPr="00A040E1">
              <w:rPr>
                <w:rFonts w:cs="Calibri"/>
                <w:lang w:eastAsia="en-GB"/>
              </w:rPr>
              <w:t>peed limit reduction to 30mph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20D9A" w14:textId="77777777" w:rsidR="00415D3E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A040E1">
              <w:rPr>
                <w:rFonts w:cs="Calibri"/>
                <w:lang w:eastAsia="en-GB"/>
              </w:rPr>
              <w:t>£50,000</w:t>
            </w:r>
          </w:p>
        </w:tc>
      </w:tr>
      <w:tr w:rsidR="00E44999" w14:paraId="71D09857" w14:textId="77777777" w:rsidTr="00550F37">
        <w:trPr>
          <w:trHeight w:val="1414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6FA3D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982854">
              <w:t>A6 and Dawson Lane, Cycle Lane improvements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ACB0D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Clayton with Whittle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CAA36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982854">
              <w:t>Chorley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A9018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A040E1">
              <w:rPr>
                <w:rFonts w:cs="Calibri"/>
                <w:lang w:eastAsia="en-GB"/>
              </w:rPr>
              <w:t xml:space="preserve">Continue advisory cycle lane through </w:t>
            </w:r>
            <w:r w:rsidRPr="00A040E1">
              <w:rPr>
                <w:rFonts w:cs="Calibri"/>
                <w:lang w:eastAsia="en-GB"/>
              </w:rPr>
              <w:t>junction with MMA colour</w:t>
            </w:r>
            <w:r>
              <w:rPr>
                <w:rFonts w:cs="Calibri"/>
                <w:lang w:eastAsia="en-GB"/>
              </w:rPr>
              <w:t>. I</w:t>
            </w:r>
            <w:r w:rsidRPr="00A040E1">
              <w:rPr>
                <w:rFonts w:cs="Calibri"/>
                <w:lang w:eastAsia="en-GB"/>
              </w:rPr>
              <w:t xml:space="preserve">mproved cycle lane through pedestrian crossing to </w:t>
            </w:r>
            <w:r>
              <w:rPr>
                <w:rFonts w:cs="Calibri"/>
                <w:lang w:eastAsia="en-GB"/>
              </w:rPr>
              <w:t>F</w:t>
            </w:r>
            <w:r w:rsidRPr="00A040E1">
              <w:rPr>
                <w:rFonts w:cs="Calibri"/>
                <w:lang w:eastAsia="en-GB"/>
              </w:rPr>
              <w:t xml:space="preserve">actory </w:t>
            </w:r>
            <w:r>
              <w:rPr>
                <w:rFonts w:cs="Calibri"/>
                <w:lang w:eastAsia="en-GB"/>
              </w:rPr>
              <w:t>L</w:t>
            </w:r>
            <w:r w:rsidRPr="00A040E1">
              <w:rPr>
                <w:rFonts w:cs="Calibri"/>
                <w:lang w:eastAsia="en-GB"/>
              </w:rPr>
              <w:t>ane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69E37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81500F">
              <w:t>£110,000</w:t>
            </w:r>
          </w:p>
        </w:tc>
      </w:tr>
      <w:tr w:rsidR="00E44999" w14:paraId="673FA293" w14:textId="77777777" w:rsidTr="009551F8">
        <w:trPr>
          <w:trHeight w:val="1548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541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82854">
              <w:t xml:space="preserve">C478 Halton Road and Church Brow </w:t>
            </w:r>
            <w:r>
              <w:t xml:space="preserve">Traffic </w:t>
            </w:r>
            <w:r w:rsidRPr="00982854">
              <w:t>Calming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AAE00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Lancaster Rural East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1F23D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982854"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0FDC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9D32F7">
              <w:t xml:space="preserve">Traffic calming/bus </w:t>
            </w:r>
            <w:r>
              <w:t>c</w:t>
            </w:r>
            <w:r w:rsidRPr="009D32F7">
              <w:t>ushions</w:t>
            </w:r>
            <w:r>
              <w:t>,</w:t>
            </w:r>
            <w:r w:rsidRPr="009D32F7">
              <w:t xml:space="preserve"> </w:t>
            </w:r>
            <w:r>
              <w:t>w</w:t>
            </w:r>
            <w:r w:rsidRPr="009D32F7">
              <w:t xml:space="preserve">arning signs, edge of carriageway </w:t>
            </w:r>
            <w:r w:rsidRPr="009D32F7">
              <w:t>markings to visually narrow carriageway</w:t>
            </w:r>
            <w:r>
              <w:t xml:space="preserve"> and</w:t>
            </w:r>
            <w:r w:rsidRPr="009D32F7">
              <w:t xml:space="preserve"> highlight gateway into Halton</w:t>
            </w:r>
            <w:r>
              <w:t xml:space="preserve">, </w:t>
            </w:r>
            <w:r w:rsidRPr="009D32F7">
              <w:t xml:space="preserve">widen </w:t>
            </w:r>
            <w:r>
              <w:t>c</w:t>
            </w:r>
            <w:r w:rsidRPr="009D32F7">
              <w:t>entre line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54F2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81500F">
              <w:t>£95,000</w:t>
            </w:r>
          </w:p>
        </w:tc>
      </w:tr>
      <w:tr w:rsidR="00E44999" w14:paraId="139FE5DF" w14:textId="77777777" w:rsidTr="00550F37">
        <w:trPr>
          <w:trHeight w:val="2418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CD95E" w14:textId="77777777" w:rsidR="00E14F48" w:rsidRPr="00483240" w:rsidRDefault="00FD61EF" w:rsidP="00723B28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proofErr w:type="spellStart"/>
            <w:r w:rsidRPr="00982854">
              <w:t>Cadley</w:t>
            </w:r>
            <w:proofErr w:type="spellEnd"/>
            <w:r w:rsidRPr="00982854">
              <w:t xml:space="preserve"> Causeway </w:t>
            </w:r>
            <w:r>
              <w:t>E</w:t>
            </w:r>
            <w:r w:rsidRPr="00982854">
              <w:t xml:space="preserve">nhanced Zebra </w:t>
            </w:r>
            <w:r>
              <w:t>C</w:t>
            </w:r>
            <w:r w:rsidRPr="00982854">
              <w:t>rossing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B9736" w14:textId="77777777" w:rsidR="00E14F48" w:rsidRPr="00483240" w:rsidRDefault="00FD61EF" w:rsidP="00723B28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Preston West; Preston Central West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49E9A" w14:textId="77777777" w:rsidR="00E14F48" w:rsidRPr="00483240" w:rsidRDefault="00FD61EF" w:rsidP="00723B28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982854">
              <w:t>Preston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54552" w14:textId="77777777" w:rsidR="00E14F48" w:rsidRPr="00723B28" w:rsidRDefault="00FD61EF" w:rsidP="00723B28">
            <w:pPr>
              <w:spacing w:after="0"/>
              <w:jc w:val="center"/>
            </w:pPr>
            <w:r w:rsidRPr="00723B28">
              <w:t xml:space="preserve">Pedestrian safety traffic calming </w:t>
            </w:r>
            <w:r w:rsidRPr="00723B28">
              <w:t>including</w:t>
            </w:r>
            <w:r w:rsidRPr="00723B28">
              <w:t xml:space="preserve"> installation of a raised zebra crossing on </w:t>
            </w:r>
            <w:proofErr w:type="spellStart"/>
            <w:r w:rsidRPr="00723B28">
              <w:t>Cadley</w:t>
            </w:r>
            <w:proofErr w:type="spellEnd"/>
            <w:r w:rsidRPr="00723B28">
              <w:t xml:space="preserve"> Causeway east of the junction with Mill Lane, relocation of the </w:t>
            </w:r>
            <w:r>
              <w:t>e</w:t>
            </w:r>
            <w:r w:rsidRPr="00723B28">
              <w:t>astbound bus stop, and moving the existing speed camera to between St Anthony's</w:t>
            </w:r>
            <w:r>
              <w:t xml:space="preserve"> Drive and Dunkirk Avenue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150A7" w14:textId="77777777" w:rsidR="00E14F48" w:rsidRPr="00483240" w:rsidRDefault="00FD61EF" w:rsidP="00723B28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81500F">
              <w:t>£45,000</w:t>
            </w:r>
          </w:p>
        </w:tc>
      </w:tr>
      <w:tr w:rsidR="00E44999" w14:paraId="589F81CC" w14:textId="77777777" w:rsidTr="00723B28">
        <w:trPr>
          <w:trHeight w:val="1543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24F42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proofErr w:type="spellStart"/>
            <w:r w:rsidRPr="00982854">
              <w:t>Sharoe</w:t>
            </w:r>
            <w:proofErr w:type="spellEnd"/>
            <w:r w:rsidRPr="00982854">
              <w:t xml:space="preserve"> Green Lane, Royal Preston Hospital Crossing </w:t>
            </w:r>
            <w:r>
              <w:t>U</w:t>
            </w:r>
            <w:r w:rsidRPr="00982854">
              <w:t>pgrade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7A079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Preston North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4016C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982854">
              <w:t>Preston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604E" w14:textId="77777777" w:rsidR="0047268A" w:rsidRDefault="00FD61EF" w:rsidP="00E64371">
            <w:pPr>
              <w:spacing w:after="0" w:line="240" w:lineRule="auto"/>
              <w:jc w:val="center"/>
            </w:pPr>
            <w:r w:rsidRPr="009D32F7">
              <w:t xml:space="preserve">Upgrade existing </w:t>
            </w:r>
            <w:r>
              <w:t>z</w:t>
            </w:r>
            <w:r w:rsidRPr="009D32F7">
              <w:t>ebra crossing to</w:t>
            </w:r>
            <w:r>
              <w:t xml:space="preserve"> </w:t>
            </w:r>
          </w:p>
          <w:p w14:paraId="3CF66288" w14:textId="77777777" w:rsidR="000B3B15" w:rsidRDefault="00FD61EF" w:rsidP="00E64371">
            <w:pPr>
              <w:spacing w:after="0" w:line="240" w:lineRule="auto"/>
              <w:jc w:val="center"/>
            </w:pPr>
            <w:r>
              <w:t>a</w:t>
            </w:r>
            <w:r w:rsidRPr="009D32F7">
              <w:t xml:space="preserve"> </w:t>
            </w:r>
            <w:r>
              <w:t>p</w:t>
            </w:r>
            <w:r w:rsidRPr="009D32F7">
              <w:t>uffin</w:t>
            </w:r>
            <w:r>
              <w:t xml:space="preserve"> crossing </w:t>
            </w:r>
          </w:p>
          <w:p w14:paraId="532EDF36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>
              <w:t>(adjacent to hospital and shops/residential area)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5F25C" w14:textId="77777777" w:rsidR="00E14F48" w:rsidRPr="00483240" w:rsidRDefault="00FD61EF" w:rsidP="00E64371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81500F">
              <w:t>£120,000</w:t>
            </w:r>
          </w:p>
        </w:tc>
      </w:tr>
      <w:tr w:rsidR="00E44999" w14:paraId="514466E2" w14:textId="77777777" w:rsidTr="00314E00">
        <w:trPr>
          <w:trHeight w:val="525"/>
        </w:trPr>
        <w:tc>
          <w:tcPr>
            <w:tcW w:w="4343" w:type="pct"/>
            <w:gridSpan w:val="4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7A4348CC" w14:textId="77777777" w:rsidR="00415D3E" w:rsidRPr="002A4C6D" w:rsidRDefault="00FD61EF" w:rsidP="00415D3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2A4C6D">
              <w:rPr>
                <w:rFonts w:cs="Arial"/>
                <w:b/>
                <w:bCs/>
                <w:sz w:val="24"/>
                <w:szCs w:val="24"/>
              </w:rPr>
              <w:t>For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ecas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O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u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tt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urn</w:t>
            </w:r>
            <w:r w:rsidRPr="002A4C6D">
              <w:rPr>
                <w:rFonts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C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2A4C6D">
              <w:rPr>
                <w:rFonts w:cs="Arial"/>
                <w:b/>
                <w:bCs/>
                <w:spacing w:val="-2"/>
                <w:sz w:val="24"/>
                <w:szCs w:val="24"/>
              </w:rPr>
              <w:t>i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l</w:t>
            </w:r>
            <w:r w:rsidRPr="002A4C6D">
              <w:rPr>
                <w:rFonts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2A4C6D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x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p</w:t>
            </w:r>
            <w:r w:rsidRPr="002A4C6D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nd</w:t>
            </w:r>
            <w:r w:rsidRPr="002A4C6D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2A4C6D">
              <w:rPr>
                <w:rFonts w:cs="Arial"/>
                <w:b/>
                <w:bCs/>
                <w:spacing w:val="2"/>
                <w:w w:val="102"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ure: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024CA436" w14:textId="77777777" w:rsidR="00415D3E" w:rsidRPr="00F56A78" w:rsidRDefault="00FD61EF" w:rsidP="00415D3E">
            <w:pPr>
              <w:spacing w:after="0" w:line="240" w:lineRule="auto"/>
              <w:jc w:val="center"/>
              <w:rPr>
                <w:b/>
                <w:color w:val="000000"/>
                <w:lang w:eastAsia="en-GB"/>
              </w:rPr>
            </w:pPr>
            <w:r w:rsidRPr="00F56A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500,000</w:t>
            </w:r>
          </w:p>
        </w:tc>
      </w:tr>
    </w:tbl>
    <w:p w14:paraId="482BDFF1" w14:textId="77777777" w:rsidR="00A345A9" w:rsidRDefault="00FD61EF"/>
    <w:sectPr w:rsidR="00A345A9" w:rsidSect="00CA0F1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C27F0" w14:textId="77777777" w:rsidR="00000000" w:rsidRDefault="00FD61EF">
      <w:pPr>
        <w:spacing w:after="0" w:line="240" w:lineRule="auto"/>
      </w:pPr>
      <w:r>
        <w:separator/>
      </w:r>
    </w:p>
  </w:endnote>
  <w:endnote w:type="continuationSeparator" w:id="0">
    <w:p w14:paraId="313E9CE9" w14:textId="77777777" w:rsidR="00000000" w:rsidRDefault="00FD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7C09" w14:textId="1D2F1837" w:rsidR="009C5130" w:rsidRDefault="00FD61EF">
    <w:pPr>
      <w:pStyle w:val="Footer"/>
      <w:jc w:val="right"/>
    </w:pPr>
  </w:p>
  <w:p w14:paraId="66DF1A3E" w14:textId="77777777" w:rsidR="009C5130" w:rsidRDefault="00FD6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B0A59" w14:textId="77777777" w:rsidR="00000000" w:rsidRDefault="00FD61EF">
      <w:pPr>
        <w:spacing w:after="0" w:line="240" w:lineRule="auto"/>
      </w:pPr>
      <w:r>
        <w:separator/>
      </w:r>
    </w:p>
  </w:footnote>
  <w:footnote w:type="continuationSeparator" w:id="0">
    <w:p w14:paraId="1A31141A" w14:textId="77777777" w:rsidR="00000000" w:rsidRDefault="00FD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F828" w14:textId="77777777" w:rsidR="00FF65FC" w:rsidRDefault="00FD61EF">
    <w:pPr>
      <w:pStyle w:val="Header"/>
    </w:pPr>
    <w:r>
      <w:rPr>
        <w:noProof/>
        <w:lang w:val="en-US"/>
      </w:rPr>
      <w:pict w14:anchorId="7699A8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11767" o:spid="_x0000_s2049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99"/>
    <w:rsid w:val="000F17E7"/>
    <w:rsid w:val="00E44999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535FCB85"/>
  <w15:docId w15:val="{C22CD40A-D896-4976-94CF-57AC804E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A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4A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4A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4A2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3B5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0E1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F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1F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1F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3414-0E01-4FB7-AC09-06CF1B0C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Gorman, Dave</cp:lastModifiedBy>
  <cp:revision>16</cp:revision>
  <cp:lastPrinted>2018-11-19T10:58:00Z</cp:lastPrinted>
  <dcterms:created xsi:type="dcterms:W3CDTF">2021-04-06T14:25:00Z</dcterms:created>
  <dcterms:modified xsi:type="dcterms:W3CDTF">2021-05-26T07:36:00Z</dcterms:modified>
</cp:coreProperties>
</file>